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0" w:rsidRDefault="009D6A20" w:rsidP="009D6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6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9D6A20">
        <w:rPr>
          <w:rFonts w:ascii="Times New Roman" w:hAnsi="Times New Roman"/>
          <w:b/>
          <w:sz w:val="28"/>
          <w:szCs w:val="28"/>
          <w:lang w:val="kk-KZ"/>
        </w:rPr>
        <w:t>Дін контексіндегі адам философиясы</w:t>
      </w:r>
      <w:r w:rsidRPr="009D6A2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D6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A20" w:rsidRPr="009D6A20" w:rsidRDefault="009D6A20" w:rsidP="009D6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Pr="009D6A20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9D6A20" w:rsidRPr="00941538" w:rsidRDefault="009D6A20" w:rsidP="009D6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6A20" w:rsidRPr="00941538" w:rsidRDefault="009D6A20" w:rsidP="009D6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Қабылдау формасы</w:t>
      </w:r>
      <w:r w:rsidRPr="0094153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9415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1538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Ауызша емтихан</w:t>
      </w:r>
      <w:r w:rsidRPr="00941538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94153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6A20" w:rsidRPr="00941538" w:rsidRDefault="009D6A20" w:rsidP="009D6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Тапсыру мерзімі</w:t>
      </w:r>
      <w:r w:rsidRPr="009415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941538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kk-KZ"/>
        </w:rPr>
        <w:t>апта</w:t>
      </w:r>
    </w:p>
    <w:p w:rsidR="003745BD" w:rsidRDefault="009D6A20" w:rsidP="009D6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6A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Емтихан қабылдау талабы: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Бұл курс таза теориялық мәселелерге арналғандықтан</w:t>
      </w:r>
      <w:r w:rsidRPr="009D6A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докторанттар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дан</w:t>
      </w:r>
      <w:r w:rsidRPr="009D6A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адамның діни сенімі сферасының динамикасын, «қасиеттілік» ұғымының жүйелерін, діни ғибадаттардың пайда болу мен өзгеру ерекшеліктерін, қазіргі кезеңдегі білім мен сенімнің қатынасын, діни тіл және діни тәжірибе мәселелерінің діни-философиялық тұрғыда талқылау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талап етіледі</w:t>
      </w:r>
      <w:r w:rsidRPr="009D6A2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D6A20" w:rsidRDefault="009D6A20" w:rsidP="009D6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6A20" w:rsidRDefault="009D6A20" w:rsidP="009D6A2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D6A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Сұрақтар тізімі:</w:t>
      </w:r>
    </w:p>
    <w:p w:rsidR="00AA5AE4" w:rsidRDefault="00AA5AE4" w:rsidP="009D6A2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Дін философиясындағы адам мәселесі</w:t>
      </w:r>
      <w:r w:rsidR="00A37587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нің қарастырылу ерекшеліктері: философиялық және діни түсіндірмелерді салыстырып өзіндік түйін жасау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Адамның</w:t>
      </w:r>
      <w:r w:rsidRPr="00AA5AE4">
        <w:rPr>
          <w:rFonts w:ascii="Times New Roman" w:hAnsi="Times New Roman" w:cs="Times New Roman"/>
          <w:sz w:val="28"/>
          <w:szCs w:val="28"/>
          <w:lang w:val="kk-KZ"/>
        </w:rPr>
        <w:t xml:space="preserve"> діни сенімі және білімі мәселесі</w:t>
      </w:r>
      <w:r w:rsidR="00A37587" w:rsidRPr="00AA5AE4">
        <w:rPr>
          <w:rFonts w:ascii="Times New Roman" w:hAnsi="Times New Roman" w:cs="Times New Roman"/>
          <w:sz w:val="28"/>
          <w:szCs w:val="28"/>
          <w:lang w:val="kk-KZ"/>
        </w:rPr>
        <w:t xml:space="preserve">не қатысты христиандық және исламдық дүниетанымдардың философиялық мәнін ашып, екі діни көзқарастағы ортақ ойларды талқылау 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Философия мен ғыл</w:t>
      </w:r>
      <w:r w:rsidR="00A37587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ымда адамның пайда болу мәселелерін жүйелеп, осы мәселеге байланысты бірнеше концепцияның мазмұны мен мәнін ашып беріңіз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Діни сананың қалыптасуындағы мифологияның </w:t>
      </w:r>
      <w:r w:rsidR="00A37587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дүниетанымдық рөлін негіздеңіз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sz w:val="28"/>
          <w:szCs w:val="28"/>
          <w:lang w:val="kk-KZ"/>
        </w:rPr>
        <w:t xml:space="preserve">Христиан ғалымдарының </w:t>
      </w:r>
      <w:r w:rsidR="00A37587" w:rsidRPr="00AA5AE4">
        <w:rPr>
          <w:rFonts w:ascii="Times New Roman" w:hAnsi="Times New Roman" w:cs="Times New Roman"/>
          <w:sz w:val="28"/>
          <w:szCs w:val="28"/>
          <w:lang w:val="kk-KZ"/>
        </w:rPr>
        <w:t xml:space="preserve">діни </w:t>
      </w:r>
      <w:r w:rsidRPr="00AA5AE4">
        <w:rPr>
          <w:rFonts w:ascii="Times New Roman" w:hAnsi="Times New Roman" w:cs="Times New Roman"/>
          <w:sz w:val="28"/>
          <w:szCs w:val="28"/>
          <w:lang w:val="kk-KZ"/>
        </w:rPr>
        <w:t>сенім туралы ойлары</w:t>
      </w:r>
      <w:r w:rsidR="00AA5AE4" w:rsidRPr="00AA5AE4">
        <w:rPr>
          <w:rFonts w:ascii="Times New Roman" w:hAnsi="Times New Roman" w:cs="Times New Roman"/>
          <w:sz w:val="28"/>
          <w:szCs w:val="28"/>
          <w:lang w:val="kk-KZ"/>
        </w:rPr>
        <w:t>ның қазіргі кезеңдегі ерекшеліктерін көрсетіңіз (докторант өз қалауынша кез келген христиандық діни философтың көзқарасын алуға болады)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Өлім</w:t>
      </w:r>
      <w:r w:rsidR="00AA5AE4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ді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әлеуметтік феномен ретінде</w:t>
      </w:r>
      <w:r w:rsidR="00AA5AE4"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қарастыру (ислам және христиан діндері бойынша)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sz w:val="28"/>
          <w:szCs w:val="28"/>
          <w:lang w:val="kk-KZ"/>
        </w:rPr>
        <w:t>Ислам құндылықтарындағы сенім метафизикасы</w:t>
      </w:r>
      <w:r w:rsidR="00AA5AE4" w:rsidRPr="00AA5AE4">
        <w:rPr>
          <w:rFonts w:ascii="Times New Roman" w:hAnsi="Times New Roman" w:cs="Times New Roman"/>
          <w:sz w:val="28"/>
          <w:szCs w:val="28"/>
          <w:lang w:val="kk-KZ"/>
        </w:rPr>
        <w:t>ның мән мен мазмұнын ашу</w:t>
      </w:r>
    </w:p>
    <w:p w:rsidR="009D6A20" w:rsidRPr="00AA5AE4" w:rsidRDefault="00AA5AE4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Ислам діні бойынша адам өмірінің басты құндылық </w:t>
      </w:r>
      <w:r w:rsidR="009D6A20"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ретіндегі 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философиялық </w:t>
      </w:r>
      <w:r w:rsidR="009D6A20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мәні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н ашып, талдау жасаңыз</w:t>
      </w:r>
    </w:p>
    <w:p w:rsidR="009D6A20" w:rsidRPr="00AA5AE4" w:rsidRDefault="009D6A20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sz w:val="28"/>
          <w:szCs w:val="28"/>
          <w:lang w:val="kk-KZ"/>
        </w:rPr>
        <w:t>Буддизмдегі «кемел адам» бейнесінің  қазіргі философиядағы сарапталуы</w:t>
      </w:r>
      <w:r w:rsidR="00AA5AE4" w:rsidRPr="00AA5AE4">
        <w:rPr>
          <w:rFonts w:ascii="Times New Roman" w:hAnsi="Times New Roman" w:cs="Times New Roman"/>
          <w:sz w:val="28"/>
          <w:szCs w:val="28"/>
          <w:lang w:val="kk-KZ"/>
        </w:rPr>
        <w:t>на дінтанулық талдау</w:t>
      </w:r>
    </w:p>
    <w:p w:rsidR="009D6A20" w:rsidRPr="00AA5AE4" w:rsidRDefault="00AA5AE4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Діндердегі р</w:t>
      </w:r>
      <w:r w:rsidR="009D6A20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ухани кемелдену жолдары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ның ерекшеліктері (сопылық және каббала ілімдері бойынша) </w:t>
      </w:r>
    </w:p>
    <w:p w:rsidR="009D6A20" w:rsidRPr="00AA5AE4" w:rsidRDefault="00AA5AE4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sz w:val="28"/>
          <w:szCs w:val="28"/>
          <w:lang w:val="kk-KZ"/>
        </w:rPr>
        <w:t>ХХ ғасыр дін философиясындағы д</w:t>
      </w:r>
      <w:r w:rsidR="009D6A20" w:rsidRPr="00AA5AE4">
        <w:rPr>
          <w:rFonts w:ascii="Times New Roman" w:hAnsi="Times New Roman" w:cs="Times New Roman"/>
          <w:sz w:val="28"/>
          <w:szCs w:val="28"/>
          <w:lang w:val="kk-KZ"/>
        </w:rPr>
        <w:t>іни тіл мәселесі</w:t>
      </w:r>
      <w:r w:rsidRPr="00AA5AE4">
        <w:rPr>
          <w:rFonts w:ascii="Times New Roman" w:hAnsi="Times New Roman" w:cs="Times New Roman"/>
          <w:sz w:val="28"/>
          <w:szCs w:val="28"/>
          <w:lang w:val="kk-KZ"/>
        </w:rPr>
        <w:t>нің қарастырылуына дінтанулық талдау</w:t>
      </w:r>
    </w:p>
    <w:p w:rsidR="009D6A20" w:rsidRPr="00AA5AE4" w:rsidRDefault="00AA5AE4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Қазіргі діни философтардың ә</w:t>
      </w:r>
      <w:r w:rsidR="009D6A20"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лем және адам туралы 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ойларымен </w:t>
      </w:r>
      <w:r w:rsidR="009D6A20" w:rsidRPr="00AA5AE4">
        <w:rPr>
          <w:rFonts w:ascii="Times New Roman" w:hAnsi="Times New Roman" w:cs="Times New Roman"/>
          <w:bCs/>
          <w:sz w:val="28"/>
          <w:szCs w:val="28"/>
          <w:lang w:val="kk-KZ"/>
        </w:rPr>
        <w:t>сұқбат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тасыңыз (</w:t>
      </w:r>
      <w:r w:rsidRPr="00AA5AE4">
        <w:rPr>
          <w:rFonts w:ascii="Times New Roman" w:hAnsi="Times New Roman" w:cs="Times New Roman"/>
          <w:sz w:val="28"/>
          <w:szCs w:val="28"/>
          <w:lang w:val="kk-KZ"/>
        </w:rPr>
        <w:t>докторант өз қалауынша бір философпен сұқбат жасай алады</w:t>
      </w:r>
      <w:r w:rsidRPr="00AA5AE4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Христиан дінінің негізігі идеясы – күнә және жанның құтқарылу мәселесіне байланысты К.Ранердің көзқарасына талдау жасаңыз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А. Яссауи мен Абай діни философиясындағы адам мәселесін салыстырыңыз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Ж.П. Сартрдың  </w:t>
      </w:r>
      <w:hyperlink r:id="rId5" w:tooltip="Психоанализ" w:history="1">
        <w:r w:rsidRPr="00AA5AE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адам</w:t>
        </w:r>
      </w:hyperlink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еркіндігі туралы айтқан экзистенциалді философиялық концепциясына сараптама беріңіз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Н.Бердяевтің «Адамның Құдайға қатынасы» еңбегіне сараптама жасаңыз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Мұсылмандық философиядағы адам мәселесіне талдау жасаған 20 ғасырдағы ғалымдардың ойларын сараптаңыз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ойшылдарының анропологиялық ізденістеріне талдау жасаңыз</w:t>
      </w:r>
    </w:p>
    <w:p w:rsidR="00A37587" w:rsidRPr="00AA5AE4" w:rsidRDefault="00A37587" w:rsidP="00A37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Түркі әлеміндегі адам мен әлем қатынасы мәселесін З. Наурызбаеваның "Вечное небо казахов" еңбегі бойынша тұжырымдаңыз</w:t>
      </w:r>
    </w:p>
    <w:p w:rsidR="00A37587" w:rsidRDefault="00AA5A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E4">
        <w:rPr>
          <w:rFonts w:ascii="Times New Roman" w:hAnsi="Times New Roman" w:cs="Times New Roman"/>
          <w:sz w:val="28"/>
          <w:szCs w:val="28"/>
          <w:lang w:val="kk-KZ"/>
        </w:rPr>
        <w:t>Қазіргі Қазақстандағы дәстүрлі діндердің адамдардың әлеуметтік жағдайын жақсарту жолындағы іс шараларына баға беріңіз.</w:t>
      </w:r>
    </w:p>
    <w:p w:rsidR="002844D1" w:rsidRDefault="002844D1" w:rsidP="00284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388E" w:rsidRPr="005810DB" w:rsidRDefault="00AC388E" w:rsidP="00AC38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ғалау к</w:t>
      </w:r>
      <w:r>
        <w:rPr>
          <w:rFonts w:ascii="Times New Roman" w:hAnsi="Times New Roman" w:cs="Times New Roman"/>
          <w:b/>
          <w:sz w:val="28"/>
          <w:szCs w:val="28"/>
        </w:rPr>
        <w:t>ритери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йлері</w:t>
      </w:r>
    </w:p>
    <w:p w:rsidR="00AC388E" w:rsidRPr="00BA6FDC" w:rsidRDefault="00AC388E" w:rsidP="00AC38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2847"/>
        <w:gridCol w:w="5806"/>
      </w:tblGrid>
      <w:tr w:rsidR="00AC388E" w:rsidRPr="00BA6FDC" w:rsidTr="0026204E">
        <w:tc>
          <w:tcPr>
            <w:tcW w:w="2589" w:type="dxa"/>
          </w:tcPr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FDC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5806" w:type="dxa"/>
          </w:tcPr>
          <w:p w:rsidR="00AC388E" w:rsidRPr="005810DB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Жауаптың мазмұны</w:t>
            </w:r>
          </w:p>
        </w:tc>
      </w:tr>
      <w:tr w:rsidR="00AC388E" w:rsidRPr="00BA6FDC" w:rsidTr="0026204E">
        <w:tc>
          <w:tcPr>
            <w:tcW w:w="2589" w:type="dxa"/>
          </w:tcPr>
          <w:p w:rsidR="00AC388E" w:rsidRPr="005810DB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90-100 балл</w:t>
            </w: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жақсы)</w:t>
            </w:r>
          </w:p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AC388E" w:rsidRPr="005810DB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сұраққа нақты, ғылыми негізде, жүйелі және логикалық бірізділікпе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өз ойын жинақы түрде жеткізді</w:t>
            </w: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мәселеге қатысты жеке ұстанымы бар. </w:t>
            </w:r>
          </w:p>
        </w:tc>
      </w:tr>
      <w:tr w:rsidR="00AC388E" w:rsidRPr="00BA6FDC" w:rsidTr="0026204E">
        <w:tc>
          <w:tcPr>
            <w:tcW w:w="2589" w:type="dxa"/>
          </w:tcPr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75-89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B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AC388E" w:rsidRPr="005810DB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раққа жалпы жақсы жауап берілді</w:t>
            </w: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бірақ жекелеген мәселелерді игеруде аздаған олқылықтар бар.</w:t>
            </w:r>
            <w:r w:rsidRPr="0058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88E" w:rsidRPr="00BA6FDC" w:rsidTr="0026204E">
        <w:tc>
          <w:tcPr>
            <w:tcW w:w="2589" w:type="dxa"/>
          </w:tcPr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50-74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B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AC388E" w:rsidRPr="005810DB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</w:t>
            </w: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сұраққа жауап жартылай берілді</w:t>
            </w: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тұжырымдары өте қысқа және негізделуі әлсіз. Оқытушының бағыт берушілік көмегі қажет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болды.</w:t>
            </w:r>
            <w:r w:rsidRPr="0058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88E" w:rsidRPr="00BA6FDC" w:rsidTr="0026204E">
        <w:tc>
          <w:tcPr>
            <w:tcW w:w="2589" w:type="dxa"/>
          </w:tcPr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0-49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канағаттанарлықсыз</w:t>
            </w:r>
            <w:r w:rsidRPr="00B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B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88E" w:rsidRPr="00BA6FDC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AC388E" w:rsidRPr="005810DB" w:rsidRDefault="00AC388E" w:rsidP="002620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0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 дұрыс емес, өз ойын жеткізу қабілеті нашар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AC388E" w:rsidRDefault="00AC388E" w:rsidP="00AC3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44D1" w:rsidRPr="002844D1" w:rsidRDefault="002844D1" w:rsidP="002844D1">
      <w:pPr>
        <w:pStyle w:val="a6"/>
        <w:tabs>
          <w:tab w:val="left" w:pos="2268"/>
        </w:tabs>
        <w:jc w:val="center"/>
        <w:rPr>
          <w:b/>
          <w:bCs/>
          <w:sz w:val="28"/>
          <w:szCs w:val="28"/>
          <w:lang w:val="kk-KZ"/>
        </w:rPr>
      </w:pPr>
      <w:r w:rsidRPr="002844D1">
        <w:rPr>
          <w:b/>
          <w:bCs/>
          <w:sz w:val="28"/>
          <w:szCs w:val="28"/>
          <w:lang w:val="kk-KZ"/>
        </w:rPr>
        <w:t>Ұсынылатын әдебиеттер тізімі.</w:t>
      </w:r>
    </w:p>
    <w:p w:rsidR="002844D1" w:rsidRPr="002844D1" w:rsidRDefault="002844D1" w:rsidP="002844D1">
      <w:pPr>
        <w:pStyle w:val="a6"/>
        <w:tabs>
          <w:tab w:val="left" w:pos="2268"/>
        </w:tabs>
        <w:spacing w:after="0"/>
        <w:jc w:val="center"/>
        <w:rPr>
          <w:b/>
          <w:sz w:val="28"/>
          <w:szCs w:val="28"/>
        </w:rPr>
      </w:pPr>
      <w:r w:rsidRPr="002844D1">
        <w:rPr>
          <w:b/>
          <w:sz w:val="28"/>
          <w:szCs w:val="28"/>
        </w:rPr>
        <w:t>Негізгі әдебиеттер:</w:t>
      </w:r>
    </w:p>
    <w:p w:rsidR="002844D1" w:rsidRPr="002844D1" w:rsidRDefault="002844D1" w:rsidP="002844D1">
      <w:pPr>
        <w:pStyle w:val="a4"/>
        <w:spacing w:after="0"/>
        <w:ind w:left="0"/>
        <w:rPr>
          <w:iCs/>
          <w:sz w:val="28"/>
          <w:szCs w:val="28"/>
          <w:lang w:val="kk-KZ"/>
        </w:rPr>
      </w:pPr>
      <w:r w:rsidRPr="002844D1">
        <w:rPr>
          <w:iCs/>
          <w:sz w:val="28"/>
          <w:szCs w:val="28"/>
        </w:rPr>
        <w:t xml:space="preserve">1. </w:t>
      </w:r>
      <w:r w:rsidRPr="002844D1">
        <w:rPr>
          <w:iCs/>
          <w:sz w:val="28"/>
          <w:szCs w:val="28"/>
          <w:lang w:val="kk-KZ"/>
        </w:rPr>
        <w:t>Фьоренцо Эмилио Реати. Религи как освобождающая сила в философии ХХ века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</w:rPr>
      </w:pPr>
      <w:r w:rsidRPr="002844D1">
        <w:rPr>
          <w:iCs/>
          <w:sz w:val="28"/>
          <w:szCs w:val="28"/>
          <w:lang w:val="kk-KZ"/>
        </w:rPr>
        <w:t xml:space="preserve">2. </w:t>
      </w:r>
      <w:r w:rsidRPr="002844D1">
        <w:rPr>
          <w:iCs/>
          <w:sz w:val="28"/>
          <w:szCs w:val="28"/>
        </w:rPr>
        <w:t>Вальверде К</w:t>
      </w:r>
      <w:r w:rsidRPr="002844D1">
        <w:rPr>
          <w:sz w:val="28"/>
          <w:szCs w:val="28"/>
        </w:rPr>
        <w:t>. Философская антропология. М., 2010.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</w:rPr>
      </w:pPr>
      <w:r w:rsidRPr="002844D1">
        <w:rPr>
          <w:iCs/>
          <w:sz w:val="28"/>
          <w:szCs w:val="28"/>
          <w:lang w:val="kk-KZ"/>
        </w:rPr>
        <w:t>3</w:t>
      </w:r>
      <w:r w:rsidRPr="002844D1">
        <w:rPr>
          <w:iCs/>
          <w:sz w:val="28"/>
          <w:szCs w:val="28"/>
        </w:rPr>
        <w:t>. Плесснер Г</w:t>
      </w:r>
      <w:r w:rsidRPr="002844D1">
        <w:rPr>
          <w:sz w:val="28"/>
          <w:szCs w:val="28"/>
        </w:rPr>
        <w:t xml:space="preserve">. Ступени органического и человек. М.: РОССПЭН, 2004. 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  <w:lang w:val="kk-KZ"/>
        </w:rPr>
      </w:pPr>
      <w:r w:rsidRPr="002844D1">
        <w:rPr>
          <w:iCs/>
          <w:sz w:val="28"/>
          <w:szCs w:val="28"/>
        </w:rPr>
        <w:t>3.Шульц П</w:t>
      </w:r>
      <w:r w:rsidRPr="002844D1">
        <w:rPr>
          <w:sz w:val="28"/>
          <w:szCs w:val="28"/>
        </w:rPr>
        <w:t>. Философская антропология. Введение для изучающих психологию.2007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</w:rPr>
      </w:pPr>
      <w:r w:rsidRPr="002844D1">
        <w:rPr>
          <w:iCs/>
          <w:sz w:val="28"/>
          <w:szCs w:val="28"/>
          <w:lang w:val="kk-KZ"/>
        </w:rPr>
        <w:t>4</w:t>
      </w:r>
      <w:r w:rsidRPr="002844D1">
        <w:rPr>
          <w:iCs/>
          <w:sz w:val="28"/>
          <w:szCs w:val="28"/>
        </w:rPr>
        <w:t>.Гелен А</w:t>
      </w:r>
      <w:r w:rsidRPr="002844D1">
        <w:rPr>
          <w:sz w:val="28"/>
          <w:szCs w:val="28"/>
        </w:rPr>
        <w:t>. О систематике антропологии // Проблема человека в западной философии. М.: Прогресс, 1988.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</w:rPr>
      </w:pPr>
      <w:r w:rsidRPr="002844D1">
        <w:rPr>
          <w:sz w:val="28"/>
          <w:szCs w:val="28"/>
          <w:lang w:val="kk-KZ"/>
        </w:rPr>
        <w:t>5</w:t>
      </w:r>
      <w:r w:rsidRPr="002844D1">
        <w:rPr>
          <w:iCs/>
          <w:sz w:val="28"/>
          <w:szCs w:val="28"/>
        </w:rPr>
        <w:t>. Кассирер Э</w:t>
      </w:r>
      <w:r w:rsidRPr="002844D1">
        <w:rPr>
          <w:sz w:val="28"/>
          <w:szCs w:val="28"/>
        </w:rPr>
        <w:t>. Избранное. Опыт о человеке. М.: Гардарики, 1998.</w:t>
      </w:r>
    </w:p>
    <w:p w:rsidR="002844D1" w:rsidRPr="002844D1" w:rsidRDefault="002844D1" w:rsidP="002844D1">
      <w:pPr>
        <w:pStyle w:val="a4"/>
        <w:spacing w:after="0"/>
        <w:ind w:left="0"/>
        <w:jc w:val="center"/>
        <w:rPr>
          <w:iCs/>
          <w:sz w:val="28"/>
          <w:szCs w:val="28"/>
          <w:lang w:val="kk-KZ"/>
        </w:rPr>
      </w:pPr>
      <w:r w:rsidRPr="002844D1">
        <w:rPr>
          <w:b/>
          <w:sz w:val="28"/>
          <w:szCs w:val="28"/>
          <w:lang w:val="kk-KZ"/>
        </w:rPr>
        <w:lastRenderedPageBreak/>
        <w:t>Қосымша әдебиеттер</w:t>
      </w:r>
      <w:r w:rsidRPr="002844D1">
        <w:rPr>
          <w:b/>
          <w:sz w:val="28"/>
          <w:szCs w:val="28"/>
        </w:rPr>
        <w:t>: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  <w:lang w:val="kk-KZ"/>
        </w:rPr>
      </w:pPr>
      <w:r w:rsidRPr="002844D1">
        <w:rPr>
          <w:iCs/>
          <w:sz w:val="28"/>
          <w:szCs w:val="28"/>
          <w:lang w:val="kk-KZ"/>
        </w:rPr>
        <w:t>1</w:t>
      </w:r>
      <w:r w:rsidRPr="002844D1">
        <w:rPr>
          <w:sz w:val="28"/>
          <w:szCs w:val="28"/>
          <w:lang w:val="kk-KZ"/>
        </w:rPr>
        <w:t xml:space="preserve">. </w:t>
      </w:r>
      <w:r w:rsidRPr="002844D1">
        <w:rPr>
          <w:sz w:val="28"/>
          <w:szCs w:val="28"/>
        </w:rPr>
        <w:t>Фромм</w:t>
      </w:r>
      <w:r w:rsidRPr="002844D1">
        <w:rPr>
          <w:iCs/>
          <w:sz w:val="28"/>
          <w:szCs w:val="28"/>
        </w:rPr>
        <w:t xml:space="preserve"> Э</w:t>
      </w:r>
      <w:r w:rsidRPr="002844D1">
        <w:rPr>
          <w:sz w:val="28"/>
          <w:szCs w:val="28"/>
        </w:rPr>
        <w:t>. Бегство от свободы. Харвестт ТОО. М. 2005.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  <w:lang w:val="kk-KZ"/>
        </w:rPr>
      </w:pPr>
      <w:r w:rsidRPr="002844D1">
        <w:rPr>
          <w:sz w:val="28"/>
          <w:szCs w:val="28"/>
          <w:lang w:val="kk-KZ"/>
        </w:rPr>
        <w:t>2</w:t>
      </w:r>
      <w:r w:rsidRPr="002844D1">
        <w:rPr>
          <w:sz w:val="28"/>
          <w:szCs w:val="28"/>
        </w:rPr>
        <w:t>.</w:t>
      </w:r>
      <w:r w:rsidRPr="002844D1">
        <w:rPr>
          <w:iCs/>
          <w:sz w:val="28"/>
          <w:szCs w:val="28"/>
        </w:rPr>
        <w:t xml:space="preserve"> Кимелев Ю. А</w:t>
      </w:r>
      <w:r w:rsidRPr="002844D1">
        <w:rPr>
          <w:sz w:val="28"/>
          <w:szCs w:val="28"/>
        </w:rPr>
        <w:t>. Современная религиозно-философская антропология. М., 1985.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</w:rPr>
      </w:pPr>
      <w:r w:rsidRPr="002844D1">
        <w:rPr>
          <w:iCs/>
          <w:sz w:val="28"/>
          <w:szCs w:val="28"/>
          <w:lang w:val="kk-KZ"/>
        </w:rPr>
        <w:t>3</w:t>
      </w:r>
      <w:r w:rsidRPr="002844D1">
        <w:rPr>
          <w:iCs/>
          <w:sz w:val="28"/>
          <w:szCs w:val="28"/>
        </w:rPr>
        <w:t>. Руткевич А. М</w:t>
      </w:r>
      <w:r w:rsidRPr="002844D1">
        <w:rPr>
          <w:sz w:val="28"/>
          <w:szCs w:val="28"/>
        </w:rPr>
        <w:t xml:space="preserve">. Философская антропология // Мотрошилова Н. В., Руткевич А. М. (Ред.).           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  <w:lang w:val="kk-KZ"/>
        </w:rPr>
      </w:pPr>
      <w:r w:rsidRPr="002844D1">
        <w:rPr>
          <w:sz w:val="28"/>
          <w:szCs w:val="28"/>
          <w:lang w:val="kk-KZ"/>
        </w:rPr>
        <w:t xml:space="preserve"> 4</w:t>
      </w:r>
      <w:r w:rsidRPr="002844D1">
        <w:rPr>
          <w:sz w:val="28"/>
          <w:szCs w:val="28"/>
        </w:rPr>
        <w:t xml:space="preserve">. </w:t>
      </w:r>
      <w:r w:rsidRPr="002844D1">
        <w:rPr>
          <w:sz w:val="28"/>
          <w:szCs w:val="28"/>
          <w:lang w:val="kk-KZ"/>
        </w:rPr>
        <w:t>Леви-Строс К. Структурная антропология. М., 1983.</w:t>
      </w:r>
    </w:p>
    <w:p w:rsidR="002844D1" w:rsidRPr="002844D1" w:rsidRDefault="002844D1" w:rsidP="002844D1">
      <w:pPr>
        <w:pStyle w:val="a4"/>
        <w:spacing w:after="0"/>
        <w:ind w:left="0"/>
        <w:rPr>
          <w:sz w:val="28"/>
          <w:szCs w:val="28"/>
        </w:rPr>
      </w:pPr>
      <w:r w:rsidRPr="002844D1">
        <w:rPr>
          <w:iCs/>
          <w:sz w:val="28"/>
          <w:szCs w:val="28"/>
          <w:lang w:val="kk-KZ"/>
        </w:rPr>
        <w:t xml:space="preserve"> 5</w:t>
      </w:r>
      <w:r w:rsidRPr="002844D1">
        <w:rPr>
          <w:sz w:val="28"/>
          <w:szCs w:val="28"/>
        </w:rPr>
        <w:t>. Франк</w:t>
      </w:r>
      <w:r w:rsidRPr="002844D1">
        <w:rPr>
          <w:iCs/>
          <w:sz w:val="28"/>
          <w:szCs w:val="28"/>
        </w:rPr>
        <w:t xml:space="preserve"> С</w:t>
      </w:r>
      <w:r w:rsidRPr="002844D1">
        <w:rPr>
          <w:sz w:val="28"/>
          <w:szCs w:val="28"/>
        </w:rPr>
        <w:t>. Душа человека. // Предмет знания. Харвестт ТОО. М. Аст. 2000. С. 631 – 990.</w:t>
      </w:r>
    </w:p>
    <w:p w:rsidR="002844D1" w:rsidRPr="002844D1" w:rsidRDefault="002844D1" w:rsidP="00284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2844D1" w:rsidRPr="002844D1" w:rsidRDefault="00284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2844D1" w:rsidRPr="002844D1" w:rsidSect="0037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07D49"/>
    <w:multiLevelType w:val="hybridMultilevel"/>
    <w:tmpl w:val="5DDE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A20"/>
    <w:rsid w:val="002844D1"/>
    <w:rsid w:val="003745BD"/>
    <w:rsid w:val="009D6A20"/>
    <w:rsid w:val="00A37587"/>
    <w:rsid w:val="00AA5AE4"/>
    <w:rsid w:val="00AC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87"/>
    <w:pPr>
      <w:ind w:left="720"/>
      <w:contextualSpacing/>
    </w:pPr>
  </w:style>
  <w:style w:type="paragraph" w:styleId="a4">
    <w:name w:val="Body Text Indent"/>
    <w:basedOn w:val="a"/>
    <w:link w:val="a5"/>
    <w:rsid w:val="002844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8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2844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Основной текст Знак"/>
    <w:basedOn w:val="a0"/>
    <w:link w:val="a6"/>
    <w:uiPriority w:val="99"/>
    <w:rsid w:val="002844D1"/>
    <w:rPr>
      <w:rFonts w:ascii="Times New Roman" w:eastAsia="Times New Roman" w:hAnsi="Times New Roman" w:cs="Times New Roman"/>
      <w:sz w:val="24"/>
      <w:szCs w:val="24"/>
      <w:lang/>
    </w:rPr>
  </w:style>
  <w:style w:type="table" w:styleId="a8">
    <w:name w:val="Table Grid"/>
    <w:basedOn w:val="a1"/>
    <w:uiPriority w:val="59"/>
    <w:rsid w:val="00AC3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F%D1%81%D0%B8%D1%85%D0%BE%D0%B0%D0%BD%D0%B0%D0%BB%D0%B8%D0%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3</cp:revision>
  <dcterms:created xsi:type="dcterms:W3CDTF">2014-10-06T09:37:00Z</dcterms:created>
  <dcterms:modified xsi:type="dcterms:W3CDTF">2014-10-06T10:56:00Z</dcterms:modified>
</cp:coreProperties>
</file>